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2" w:rsidRDefault="00EC4AF2">
      <w:pPr>
        <w:ind w:right="720"/>
        <w:rPr>
          <w:rFonts w:ascii="宋体"/>
          <w:sz w:val="28"/>
          <w:szCs w:val="28"/>
        </w:rPr>
      </w:pPr>
      <w:r>
        <w:rPr>
          <w:rFonts w:ascii="宋体" w:hint="eastAsia"/>
          <w:b/>
          <w:bCs/>
          <w:sz w:val="36"/>
          <w:szCs w:val="36"/>
        </w:rPr>
        <w:t>附件</w:t>
      </w:r>
      <w:r>
        <w:rPr>
          <w:rFonts w:ascii="宋体"/>
          <w:b/>
          <w:bCs/>
          <w:sz w:val="36"/>
          <w:szCs w:val="36"/>
        </w:rPr>
        <w:t>1</w:t>
      </w:r>
      <w:r>
        <w:rPr>
          <w:rFonts w:ascii="宋体" w:hint="eastAsia"/>
          <w:b/>
          <w:bCs/>
          <w:sz w:val="36"/>
          <w:szCs w:val="36"/>
        </w:rPr>
        <w:t>：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63pt;margin-top:39pt;width:537.75pt;height:72.75pt;z-index:251658240;mso-position-horizontal-relative:text;mso-position-vertical-relative:text" stroked="f">
            <v:textbox>
              <w:txbxContent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b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  <w:r>
                    <w:rPr>
                      <w:rFonts w:ascii="方正小标宋简体" w:eastAsia="方正小标宋简体" w:hAnsi="华文中宋" w:hint="eastAsia"/>
                      <w:b/>
                      <w:color w:val="FF0000"/>
                      <w:spacing w:val="20"/>
                      <w:w w:val="50"/>
                      <w:sz w:val="96"/>
                      <w:szCs w:val="84"/>
                    </w:rPr>
                    <w:t>中国农业科学院农业传媒与传播研究中心</w:t>
                  </w: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b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b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b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  <w:p w:rsidR="00EC4AF2" w:rsidRDefault="00EC4AF2">
                  <w:pPr>
                    <w:snapToGrid w:val="0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20"/>
                      <w:w w:val="50"/>
                      <w:sz w:val="96"/>
                      <w:szCs w:val="84"/>
                    </w:rPr>
                  </w:pPr>
                </w:p>
              </w:txbxContent>
            </v:textbox>
            <w10:wrap type="square"/>
          </v:shape>
        </w:pict>
      </w:r>
    </w:p>
    <w:p w:rsidR="00EC4AF2" w:rsidRDefault="00EC4AF2">
      <w:pPr>
        <w:ind w:firstLineChars="1700" w:firstLine="5440"/>
      </w:pPr>
      <w:r>
        <w:rPr>
          <w:noProof/>
        </w:rPr>
        <w:pict>
          <v:line id="Line 2" o:spid="_x0000_s1027" style="position:absolute;left:0;text-align:left;z-index:251659264" from="-45pt,109.2pt" to="439.5pt,109.25pt" strokecolor="red" strokeweight="5pt">
            <v:stroke linestyle="thickThin"/>
          </v:line>
        </w:pict>
      </w:r>
      <w:r>
        <w:rPr>
          <w:rFonts w:ascii="宋体" w:hAnsi="宋体" w:hint="eastAsia"/>
          <w:sz w:val="28"/>
          <w:szCs w:val="28"/>
        </w:rPr>
        <w:t>中农传研〔</w:t>
      </w:r>
      <w:r>
        <w:rPr>
          <w:rFonts w:ascii="宋体" w:hAnsi="宋体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〕</w:t>
      </w:r>
      <w:r>
        <w:rPr>
          <w:rFonts w:ascii="宋体" w:hAnsi="宋体"/>
          <w:sz w:val="28"/>
          <w:szCs w:val="28"/>
        </w:rPr>
        <w:t>79</w:t>
      </w:r>
      <w:r>
        <w:rPr>
          <w:rFonts w:ascii="宋体" w:hAnsi="宋体" w:hint="eastAsia"/>
          <w:sz w:val="28"/>
          <w:szCs w:val="28"/>
        </w:rPr>
        <w:t>号</w:t>
      </w:r>
    </w:p>
    <w:p w:rsidR="00EC4AF2" w:rsidRDefault="00EC4AF2">
      <w:pPr>
        <w:shd w:val="solid" w:color="FFFFFF" w:fill="auto"/>
        <w:tabs>
          <w:tab w:val="left" w:pos="1680"/>
        </w:tabs>
        <w:autoSpaceDN w:val="0"/>
        <w:spacing w:line="480" w:lineRule="exact"/>
        <w:jc w:val="center"/>
        <w:textAlignment w:val="center"/>
        <w:rPr>
          <w:rFonts w:ascii="宋体"/>
          <w:b/>
          <w:bCs/>
          <w:sz w:val="36"/>
          <w:szCs w:val="36"/>
        </w:rPr>
      </w:pPr>
    </w:p>
    <w:p w:rsidR="00EC4AF2" w:rsidRDefault="00EC4AF2">
      <w:pPr>
        <w:shd w:val="solid" w:color="FFFFFF" w:fill="auto"/>
        <w:tabs>
          <w:tab w:val="left" w:pos="1680"/>
        </w:tabs>
        <w:autoSpaceDN w:val="0"/>
        <w:spacing w:line="480" w:lineRule="exact"/>
        <w:jc w:val="center"/>
        <w:textAlignment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关于举办“</w:t>
      </w:r>
      <w:r>
        <w:rPr>
          <w:rFonts w:ascii="宋体" w:hAnsi="宋体"/>
          <w:b/>
          <w:bCs/>
          <w:sz w:val="36"/>
          <w:szCs w:val="36"/>
        </w:rPr>
        <w:t>2017</w:t>
      </w:r>
      <w:r>
        <w:rPr>
          <w:rFonts w:ascii="宋体" w:hAnsi="宋体" w:hint="eastAsia"/>
          <w:b/>
          <w:bCs/>
          <w:sz w:val="36"/>
          <w:szCs w:val="36"/>
        </w:rPr>
        <w:t>年水产饲料配方技术创新”高级</w:t>
      </w:r>
    </w:p>
    <w:p w:rsidR="00EC4AF2" w:rsidRDefault="00EC4AF2">
      <w:pPr>
        <w:shd w:val="solid" w:color="FFFFFF" w:fill="auto"/>
        <w:tabs>
          <w:tab w:val="left" w:pos="1680"/>
        </w:tabs>
        <w:autoSpaceDN w:val="0"/>
        <w:spacing w:line="480" w:lineRule="exact"/>
        <w:jc w:val="center"/>
        <w:textAlignment w:val="center"/>
        <w:rPr>
          <w:rFonts w:ascii="宋体"/>
          <w:b/>
          <w:bCs/>
          <w:sz w:val="11"/>
          <w:szCs w:val="11"/>
        </w:rPr>
      </w:pPr>
      <w:r>
        <w:rPr>
          <w:rFonts w:ascii="宋体" w:hAnsi="宋体" w:hint="eastAsia"/>
          <w:b/>
          <w:bCs/>
          <w:sz w:val="36"/>
          <w:szCs w:val="36"/>
        </w:rPr>
        <w:t>研修班的通知</w:t>
      </w:r>
    </w:p>
    <w:p w:rsidR="00EC4AF2" w:rsidRDefault="00EC4AF2">
      <w:pPr>
        <w:shd w:val="solid" w:color="FFFFFF" w:fill="auto"/>
        <w:tabs>
          <w:tab w:val="left" w:pos="1680"/>
        </w:tabs>
        <w:autoSpaceDN w:val="0"/>
        <w:spacing w:line="480" w:lineRule="exact"/>
        <w:jc w:val="center"/>
        <w:textAlignment w:val="center"/>
        <w:rPr>
          <w:rFonts w:ascii="宋体"/>
          <w:b/>
          <w:bCs/>
          <w:sz w:val="11"/>
          <w:szCs w:val="11"/>
        </w:rPr>
      </w:pPr>
      <w:bookmarkStart w:id="0" w:name="_GoBack"/>
      <w:bookmarkEnd w:id="0"/>
    </w:p>
    <w:p w:rsidR="00EC4AF2" w:rsidRDefault="00EC4AF2">
      <w:pPr>
        <w:shd w:val="solid" w:color="FFFFFF" w:fill="auto"/>
        <w:tabs>
          <w:tab w:val="left" w:pos="1680"/>
        </w:tabs>
        <w:autoSpaceDN w:val="0"/>
        <w:snapToGrid w:val="0"/>
        <w:spacing w:line="480" w:lineRule="exact"/>
        <w:textAlignment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各相关单位：</w:t>
      </w:r>
    </w:p>
    <w:p w:rsidR="00EC4AF2" w:rsidRDefault="00EC4AF2">
      <w:pPr>
        <w:shd w:val="solid" w:color="FFFFFF" w:fill="auto"/>
        <w:tabs>
          <w:tab w:val="left" w:pos="1680"/>
        </w:tabs>
        <w:autoSpaceDN w:val="0"/>
        <w:snapToGrid w:val="0"/>
        <w:spacing w:line="480" w:lineRule="exact"/>
        <w:ind w:firstLineChars="200" w:firstLine="560"/>
        <w:textAlignment w:val="center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随着水产养殖业和饲料工业的快速发展，用户对水产饲料产品质量与服务的要求日益提高，为推进水产饲料质量安全管理规范，树立水产饲料企业质量安全管理标杆，帮助行业技术人员学习、掌握水产饲料中营养素的作用和意义，强化水产饲料配方技术的普及与基本要点。确保水产饲料及饲料添加剂的质量，维护公众健康。为此，我中心举办“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2017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年水产饲料配方技术创新”高级研修班。通过搭建平台，学员可以与行业内资深饲料加工、营养配方和质量管理专家深入交流，共同分享水产饲料企业技术方面的诸多关键问题。请各单位接通知后，积极组织相关单位参加，现将具体事宜通知如下：</w:t>
      </w:r>
    </w:p>
    <w:p w:rsidR="00EC4AF2" w:rsidRDefault="00EC4AF2">
      <w:pPr>
        <w:numPr>
          <w:ilvl w:val="0"/>
          <w:numId w:val="1"/>
        </w:numPr>
        <w:spacing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研修内容</w:t>
      </w:r>
    </w:p>
    <w:p w:rsidR="00EC4AF2" w:rsidRDefault="00EC4AF2">
      <w:pPr>
        <w:spacing w:line="480" w:lineRule="exact"/>
        <w:ind w:firstLineChars="100" w:firstLine="28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我国水产养殖发展困境与工业化养殖的主要生产模式；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2.</w:t>
      </w:r>
      <w:r>
        <w:rPr>
          <w:rFonts w:ascii="仿宋" w:eastAsia="仿宋" w:hAnsi="仿宋" w:cs="仿宋" w:hint="eastAsia"/>
          <w:bCs/>
          <w:sz w:val="28"/>
          <w:szCs w:val="28"/>
        </w:rPr>
        <w:t>水产饲料原料的选择与质量控制；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3.</w:t>
      </w:r>
      <w:r>
        <w:rPr>
          <w:rFonts w:ascii="仿宋" w:eastAsia="仿宋" w:hAnsi="仿宋" w:cs="仿宋" w:hint="eastAsia"/>
          <w:bCs/>
          <w:sz w:val="28"/>
          <w:szCs w:val="28"/>
        </w:rPr>
        <w:t>水产饲料生产工艺与成本控制关键技术；</w:t>
      </w:r>
    </w:p>
    <w:p w:rsidR="00EC4AF2" w:rsidRDefault="00EC4AF2">
      <w:pPr>
        <w:spacing w:line="48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鱼虾肠道健康管理关键技术；</w:t>
      </w:r>
    </w:p>
    <w:p w:rsidR="00EC4AF2" w:rsidRDefault="00EC4AF2">
      <w:pPr>
        <w:spacing w:line="48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t>水产养殖饲料营养精准供给技术；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6.</w:t>
      </w:r>
      <w:r>
        <w:rPr>
          <w:rFonts w:ascii="仿宋" w:eastAsia="仿宋" w:hAnsi="仿宋" w:cs="仿宋" w:hint="eastAsia"/>
          <w:bCs/>
          <w:sz w:val="28"/>
          <w:szCs w:val="28"/>
        </w:rPr>
        <w:t>淡水鱼的营养特点及安全高效的饲料配制技术；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7.</w:t>
      </w:r>
      <w:r>
        <w:rPr>
          <w:rFonts w:ascii="仿宋" w:eastAsia="仿宋" w:hAnsi="仿宋" w:cs="仿宋" w:hint="eastAsia"/>
          <w:bCs/>
          <w:sz w:val="28"/>
          <w:szCs w:val="28"/>
        </w:rPr>
        <w:t>虾的营养特点及安全高效的饲料配制技术；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8.</w:t>
      </w:r>
      <w:r>
        <w:rPr>
          <w:rFonts w:ascii="仿宋" w:eastAsia="仿宋" w:hAnsi="仿宋" w:cs="仿宋" w:hint="eastAsia"/>
          <w:bCs/>
          <w:sz w:val="28"/>
          <w:szCs w:val="28"/>
        </w:rPr>
        <w:t>特种水产动物的营养特点及安全高效饲料配制技术；</w:t>
      </w:r>
    </w:p>
    <w:p w:rsidR="00EC4AF2" w:rsidRDefault="00EC4AF2">
      <w:pPr>
        <w:spacing w:line="48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9.</w:t>
      </w:r>
      <w:r>
        <w:rPr>
          <w:rFonts w:ascii="仿宋" w:eastAsia="仿宋" w:hAnsi="仿宋" w:cs="仿宋" w:hint="eastAsia"/>
          <w:bCs/>
          <w:sz w:val="28"/>
          <w:szCs w:val="28"/>
        </w:rPr>
        <w:t>生物技术在水产饲料产业发展及应用关键技术；</w:t>
      </w:r>
    </w:p>
    <w:p w:rsidR="00EC4AF2" w:rsidRDefault="00EC4AF2">
      <w:pPr>
        <w:spacing w:line="48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10.</w:t>
      </w:r>
      <w:r>
        <w:rPr>
          <w:rFonts w:ascii="仿宋" w:eastAsia="仿宋" w:hAnsi="仿宋" w:cs="仿宋" w:hint="eastAsia"/>
          <w:bCs/>
          <w:sz w:val="28"/>
          <w:szCs w:val="28"/>
        </w:rPr>
        <w:t>水产饲料配方设计的计算方法和典型配方分析；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 xml:space="preserve">  11.</w:t>
      </w:r>
      <w:r>
        <w:rPr>
          <w:rFonts w:ascii="仿宋" w:eastAsia="仿宋" w:hAnsi="仿宋" w:cs="仿宋" w:hint="eastAsia"/>
          <w:bCs/>
          <w:sz w:val="28"/>
          <w:szCs w:val="28"/>
        </w:rPr>
        <w:t>水环境对饲料配制的要求与影响。</w:t>
      </w:r>
    </w:p>
    <w:p w:rsidR="00EC4AF2" w:rsidRDefault="00EC4AF2">
      <w:pPr>
        <w:spacing w:line="480" w:lineRule="exact"/>
        <w:rPr>
          <w:rFonts w:ascii="宋体" w:cs="??_GB2312"/>
          <w:bCs/>
          <w:sz w:val="28"/>
          <w:szCs w:val="28"/>
        </w:rPr>
      </w:pPr>
      <w:r>
        <w:rPr>
          <w:rFonts w:ascii="宋体" w:hAnsi="宋体" w:cs="??_GB2312"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二、参加对象</w:t>
      </w:r>
    </w:p>
    <w:p w:rsidR="00EC4AF2" w:rsidRDefault="00EC4AF2">
      <w:pPr>
        <w:spacing w:line="480" w:lineRule="exact"/>
        <w:ind w:rightChars="-250" w:right="-800" w:firstLine="555"/>
        <w:jc w:val="lef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各地水产科研院所等单位科研人员；水产养殖企业、水产饲料</w:t>
      </w:r>
    </w:p>
    <w:p w:rsidR="00EC4AF2" w:rsidRDefault="00EC4AF2">
      <w:pPr>
        <w:spacing w:line="480" w:lineRule="exact"/>
        <w:ind w:rightChars="-250" w:right="-800"/>
        <w:jc w:val="lef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企业负责人、技术总监、品管经理、配方师等相关技术人员。</w:t>
      </w:r>
    </w:p>
    <w:p w:rsidR="00EC4AF2" w:rsidRDefault="00EC4AF2">
      <w:pPr>
        <w:spacing w:line="480" w:lineRule="exact"/>
        <w:ind w:rightChars="-250" w:right="-800"/>
        <w:jc w:val="left"/>
        <w:outlineLvl w:val="0"/>
        <w:rPr>
          <w:rFonts w:ascii="宋体" w:cs="??_GB2312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研修方式</w:t>
      </w:r>
    </w:p>
    <w:p w:rsidR="00EC4AF2" w:rsidRDefault="00EC4AF2">
      <w:pPr>
        <w:spacing w:line="480" w:lineRule="exact"/>
        <w:ind w:firstLine="551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研修班将邀请行业内具有丰富实战专家</w:t>
      </w:r>
      <w:r>
        <w:rPr>
          <w:rFonts w:ascii="仿宋" w:eastAsia="仿宋" w:hAnsi="仿宋" w:cs="仿宋" w:hint="eastAsia"/>
          <w:sz w:val="28"/>
          <w:szCs w:val="28"/>
        </w:rPr>
        <w:t>授课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参会代表可以就关心的技术问题与专家现场交流。</w:t>
      </w:r>
    </w:p>
    <w:p w:rsidR="00EC4AF2" w:rsidRDefault="00EC4AF2">
      <w:pPr>
        <w:numPr>
          <w:ilvl w:val="0"/>
          <w:numId w:val="2"/>
        </w:numPr>
        <w:spacing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颁发证书</w:t>
      </w:r>
    </w:p>
    <w:p w:rsidR="00EC4AF2" w:rsidRDefault="00EC4AF2">
      <w:pPr>
        <w:spacing w:line="480" w:lineRule="exact"/>
        <w:ind w:firstLine="60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研修结束后，经主办单位审核通过后颁发“水产饲料配方师”项目结业证书（报到时请提交身份证复印件及蓝底同版照片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寸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张）。</w:t>
      </w:r>
    </w:p>
    <w:p w:rsidR="00EC4AF2" w:rsidRDefault="00EC4AF2">
      <w:pPr>
        <w:spacing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五、时间地点</w:t>
      </w:r>
    </w:p>
    <w:p w:rsidR="00EC4AF2" w:rsidRDefault="00EC4AF2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17"/>
        </w:smartTagPr>
        <w:r>
          <w:rPr>
            <w:rFonts w:ascii="仿宋" w:eastAsia="仿宋" w:hAnsi="仿宋" w:cs="仿宋"/>
            <w:sz w:val="28"/>
            <w:szCs w:val="28"/>
          </w:rPr>
          <w:t>2017</w:t>
        </w:r>
        <w:r>
          <w:rPr>
            <w:rFonts w:ascii="仿宋" w:eastAsia="仿宋" w:hAnsi="仿宋" w:cs="仿宋" w:hint="eastAsia"/>
            <w:sz w:val="28"/>
            <w:szCs w:val="28"/>
          </w:rPr>
          <w:t>年</w:t>
        </w:r>
        <w:r>
          <w:rPr>
            <w:rFonts w:ascii="仿宋" w:eastAsia="仿宋" w:hAnsi="仿宋" w:cs="仿宋"/>
            <w:sz w:val="28"/>
            <w:szCs w:val="28"/>
          </w:rPr>
          <w:t>09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15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/>
          <w:sz w:val="28"/>
          <w:szCs w:val="28"/>
        </w:rPr>
        <w:t>— 17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武汉市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日全天报到）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EC4AF2" w:rsidRDefault="00EC4AF2">
      <w:pPr>
        <w:spacing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六、收费标准</w:t>
      </w:r>
    </w:p>
    <w:p w:rsidR="00EC4AF2" w:rsidRDefault="00EC4AF2">
      <w:pPr>
        <w:spacing w:line="48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1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、培训费：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2300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元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人，食宿统一安排，费用自理。</w:t>
      </w:r>
    </w:p>
    <w:p w:rsidR="00EC4AF2" w:rsidRDefault="00EC4AF2">
      <w:pPr>
        <w:spacing w:line="480" w:lineRule="exact"/>
        <w:ind w:firstLineChars="150" w:firstLine="42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、收款账户：</w:t>
      </w:r>
    </w:p>
    <w:p w:rsidR="00EC4AF2" w:rsidRDefault="00EC4AF2">
      <w:pPr>
        <w:spacing w:line="480" w:lineRule="exact"/>
        <w:ind w:firstLineChars="300" w:firstLine="84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户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名：中国农业科学技术出版社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</w:p>
    <w:p w:rsidR="00EC4AF2" w:rsidRDefault="00EC4AF2">
      <w:pPr>
        <w:spacing w:line="480" w:lineRule="exact"/>
        <w:ind w:firstLineChars="300" w:firstLine="84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开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户：中国工商银行股份有限公司北京紫竹院支行</w:t>
      </w:r>
    </w:p>
    <w:p w:rsidR="00EC4AF2" w:rsidRDefault="00EC4AF2">
      <w:pPr>
        <w:spacing w:line="480" w:lineRule="exact"/>
        <w:ind w:firstLineChars="300" w:firstLine="84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账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号：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0200 0076 0900 0202 296 </w:t>
      </w:r>
    </w:p>
    <w:p w:rsidR="00EC4AF2" w:rsidRDefault="00EC4AF2">
      <w:pPr>
        <w:spacing w:line="480" w:lineRule="exact"/>
        <w:rPr>
          <w:rFonts w:ascii="宋体" w:cs="??_GB2312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七、</w:t>
      </w:r>
      <w:r>
        <w:rPr>
          <w:rFonts w:ascii="宋体" w:hAnsi="宋体" w:cs="??_GB2312" w:hint="eastAsia"/>
          <w:b/>
          <w:color w:val="000000"/>
          <w:sz w:val="28"/>
          <w:szCs w:val="28"/>
        </w:rPr>
        <w:t>报名方式</w:t>
      </w:r>
    </w:p>
    <w:p w:rsidR="00EC4AF2" w:rsidRDefault="00EC4AF2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  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请参会</w:t>
      </w:r>
      <w:bookmarkStart w:id="1" w:name="_Hlt450728876"/>
      <w:r>
        <w:rPr>
          <w:rFonts w:ascii="仿宋" w:eastAsia="仿宋" w:hAnsi="仿宋" w:cs="仿宋" w:hint="eastAsia"/>
          <w:color w:val="000000"/>
          <w:sz w:val="28"/>
          <w:szCs w:val="28"/>
        </w:rPr>
        <w:t>人</w:t>
      </w:r>
      <w:bookmarkEnd w:id="1"/>
      <w:r>
        <w:rPr>
          <w:rFonts w:ascii="仿宋" w:eastAsia="仿宋" w:hAnsi="仿宋" w:cs="仿宋" w:hint="eastAsia"/>
          <w:color w:val="000000"/>
          <w:sz w:val="28"/>
          <w:szCs w:val="28"/>
        </w:rPr>
        <w:t>员填写报名回执表（见附件）发至电子邮箱</w:t>
      </w:r>
      <w:r>
        <w:rPr>
          <w:rFonts w:ascii="仿宋" w:eastAsia="仿宋" w:hAnsi="仿宋" w:cs="仿宋"/>
          <w:color w:val="000000"/>
          <w:sz w:val="28"/>
          <w:szCs w:val="28"/>
        </w:rPr>
        <w:t>nkysls@vip.163.com,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具体报到地点、时间及详细安排另行通知。</w:t>
      </w:r>
    </w:p>
    <w:p w:rsidR="00EC4AF2" w:rsidRDefault="00EC4AF2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2.</w:t>
      </w: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人：李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鹏</w:t>
      </w:r>
      <w:r>
        <w:rPr>
          <w:rFonts w:ascii="仿宋" w:eastAsia="仿宋" w:hAnsi="仿宋" w:cs="仿宋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机：</w:t>
      </w:r>
      <w:r>
        <w:rPr>
          <w:rFonts w:ascii="仿宋" w:eastAsia="仿宋" w:hAnsi="仿宋" w:cs="仿宋"/>
          <w:sz w:val="28"/>
          <w:szCs w:val="28"/>
        </w:rPr>
        <w:t>15901295833</w:t>
      </w:r>
    </w:p>
    <w:p w:rsidR="00EC4AF2" w:rsidRDefault="00EC4AF2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报名电话：</w:t>
      </w:r>
      <w:r>
        <w:rPr>
          <w:rFonts w:ascii="仿宋" w:eastAsia="仿宋" w:hAnsi="仿宋" w:cs="仿宋"/>
          <w:sz w:val="28"/>
          <w:szCs w:val="28"/>
        </w:rPr>
        <w:t>010</w:t>
      </w:r>
      <w:r>
        <w:rPr>
          <w:rFonts w:ascii="仿宋" w:eastAsia="仿宋" w:hAnsi="仿宋" w:cs="仿宋" w:hint="eastAsia"/>
          <w:sz w:val="28"/>
          <w:szCs w:val="28"/>
        </w:rPr>
        <w:t>－</w:t>
      </w:r>
      <w:r>
        <w:rPr>
          <w:rFonts w:ascii="仿宋" w:eastAsia="仿宋" w:hAnsi="仿宋" w:cs="仿宋"/>
          <w:sz w:val="28"/>
          <w:szCs w:val="28"/>
        </w:rPr>
        <w:t xml:space="preserve">51151518    </w:t>
      </w:r>
      <w:r>
        <w:rPr>
          <w:rFonts w:ascii="仿宋" w:eastAsia="仿宋" w:hAnsi="仿宋" w:cs="仿宋" w:hint="eastAsia"/>
          <w:sz w:val="28"/>
          <w:szCs w:val="28"/>
        </w:rPr>
        <w:t>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真：</w:t>
      </w:r>
      <w:r>
        <w:rPr>
          <w:rFonts w:ascii="仿宋" w:eastAsia="仿宋" w:hAnsi="仿宋" w:cs="仿宋"/>
          <w:sz w:val="28"/>
          <w:szCs w:val="28"/>
        </w:rPr>
        <w:t>010</w:t>
      </w:r>
      <w:r>
        <w:rPr>
          <w:rFonts w:ascii="仿宋" w:eastAsia="仿宋" w:hAnsi="仿宋" w:cs="仿宋" w:hint="eastAsia"/>
          <w:sz w:val="28"/>
          <w:szCs w:val="28"/>
        </w:rPr>
        <w:t>－</w:t>
      </w:r>
      <w:r>
        <w:rPr>
          <w:rFonts w:ascii="仿宋" w:eastAsia="仿宋" w:hAnsi="仿宋" w:cs="仿宋"/>
          <w:sz w:val="28"/>
          <w:szCs w:val="28"/>
        </w:rPr>
        <w:t>52285631</w:t>
      </w:r>
    </w:p>
    <w:p w:rsidR="00EC4AF2" w:rsidRDefault="00EC4AF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8" type="#_x0000_t75" alt="章" style="position:absolute;left:0;text-align:left;margin-left:257.7pt;margin-top:.8pt;width:132.35pt;height:133.85pt;z-index:251660288">
            <v:imagedata r:id="rId7" o:title=""/>
          </v:shape>
        </w:pict>
      </w:r>
    </w:p>
    <w:p w:rsidR="00EC4AF2" w:rsidRDefault="00EC4AF2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中国农业科学院</w:t>
      </w:r>
    </w:p>
    <w:p w:rsidR="00EC4AF2" w:rsidRDefault="00EC4AF2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农业传媒与传播研究中心</w:t>
      </w:r>
    </w:p>
    <w:p w:rsidR="00EC4AF2" w:rsidRDefault="00EC4AF2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17"/>
        </w:smartTagPr>
        <w:r>
          <w:rPr>
            <w:rFonts w:ascii="仿宋" w:eastAsia="仿宋" w:hAnsi="仿宋" w:cs="仿宋"/>
            <w:sz w:val="28"/>
            <w:szCs w:val="28"/>
          </w:rPr>
          <w:t>2017</w:t>
        </w:r>
        <w:r>
          <w:rPr>
            <w:rFonts w:ascii="仿宋" w:eastAsia="仿宋" w:hAnsi="仿宋" w:cs="仿宋" w:hint="eastAsia"/>
            <w:sz w:val="28"/>
            <w:szCs w:val="28"/>
          </w:rPr>
          <w:t>年</w:t>
        </w:r>
        <w:r>
          <w:rPr>
            <w:rFonts w:ascii="仿宋" w:eastAsia="仿宋" w:hAnsi="仿宋" w:cs="仿宋"/>
            <w:sz w:val="28"/>
            <w:szCs w:val="28"/>
          </w:rPr>
          <w:t>8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3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</w:p>
    <w:sectPr w:rsidR="00EC4AF2" w:rsidSect="00222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F2" w:rsidRDefault="00EC4AF2" w:rsidP="00222986">
      <w:r>
        <w:separator/>
      </w:r>
    </w:p>
  </w:endnote>
  <w:endnote w:type="continuationSeparator" w:id="0">
    <w:p w:rsidR="00EC4AF2" w:rsidRDefault="00EC4AF2" w:rsidP="0022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F2" w:rsidRDefault="00EC4AF2" w:rsidP="00222986">
      <w:r>
        <w:separator/>
      </w:r>
    </w:p>
  </w:footnote>
  <w:footnote w:type="continuationSeparator" w:id="0">
    <w:p w:rsidR="00EC4AF2" w:rsidRDefault="00EC4AF2" w:rsidP="0022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 w:rsidP="00AC5E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F2" w:rsidRDefault="00EC4A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CC97"/>
    <w:multiLevelType w:val="singleLevel"/>
    <w:tmpl w:val="5767CC9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83052A"/>
    <w:multiLevelType w:val="singleLevel"/>
    <w:tmpl w:val="5983052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3002AC"/>
    <w:rsid w:val="000C3D91"/>
    <w:rsid w:val="000C50F1"/>
    <w:rsid w:val="0014145D"/>
    <w:rsid w:val="00157DD9"/>
    <w:rsid w:val="0020379E"/>
    <w:rsid w:val="0020743C"/>
    <w:rsid w:val="00222986"/>
    <w:rsid w:val="00293B20"/>
    <w:rsid w:val="00365749"/>
    <w:rsid w:val="003D0134"/>
    <w:rsid w:val="00772639"/>
    <w:rsid w:val="00781067"/>
    <w:rsid w:val="00813BB0"/>
    <w:rsid w:val="00874B71"/>
    <w:rsid w:val="00954AED"/>
    <w:rsid w:val="009745AE"/>
    <w:rsid w:val="00A4032F"/>
    <w:rsid w:val="00AC5E28"/>
    <w:rsid w:val="00B63BE0"/>
    <w:rsid w:val="00BC0192"/>
    <w:rsid w:val="00BC0293"/>
    <w:rsid w:val="00C54AAE"/>
    <w:rsid w:val="00DF4DC9"/>
    <w:rsid w:val="00EA43FC"/>
    <w:rsid w:val="00EC4AF2"/>
    <w:rsid w:val="00F17E3D"/>
    <w:rsid w:val="2F3002AC"/>
    <w:rsid w:val="4D0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6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2298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29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98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98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229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22298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229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0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2017-08-03T11:21:00Z</dcterms:created>
  <dcterms:modified xsi:type="dcterms:W3CDTF">2017-09-01T01:05:00Z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